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Guidelines for annotating </w:t>
      </w:r>
      <w:r w:rsidDel="00000000" w:rsidR="00000000" w:rsidRPr="00000000">
        <w:rPr>
          <w:rtl w:val="0"/>
        </w:rPr>
        <w:t xml:space="preserve">molecular adaptor activity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 molecular adaptor activity is the binding activity of a molecule that brings together two or more molecules through a selective, non-covalent, often stoichiometric interaction, permitting those molecules to function in a coordinated way.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keepNext w:val="0"/>
        <w:keepLines w:val="0"/>
        <w:spacing w:after="0" w:before="0" w:line="276" w:lineRule="auto"/>
        <w:rPr/>
      </w:pPr>
      <w:bookmarkStart w:colFirst="0" w:colLast="0" w:name="_z0ssyg6joyf2" w:id="1"/>
      <w:bookmarkEnd w:id="1"/>
      <w:r w:rsidDel="00000000" w:rsidR="00000000" w:rsidRPr="00000000">
        <w:rPr>
          <w:rtl w:val="0"/>
        </w:rPr>
        <w:t xml:space="preserve">Pathway Editor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The molecular activity unit for a </w:t>
      </w:r>
      <w:r w:rsidDel="00000000" w:rsidR="00000000" w:rsidRPr="00000000">
        <w:rPr>
          <w:u w:val="single"/>
          <w:rtl w:val="0"/>
        </w:rPr>
        <w:t xml:space="preserve">molecular adaptor</w:t>
      </w:r>
      <w:r w:rsidDel="00000000" w:rsidR="00000000" w:rsidRPr="00000000">
        <w:rPr>
          <w:rtl w:val="0"/>
        </w:rPr>
        <w:t xml:space="preserve"> is: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MF</w:t>
      </w:r>
      <w:r w:rsidDel="00000000" w:rsidR="00000000" w:rsidRPr="00000000">
        <w:rPr>
          <w:rtl w:val="0"/>
        </w:rPr>
        <w:t xml:space="preserve">: '</w:t>
      </w:r>
      <w:r w:rsidDel="00000000" w:rsidR="00000000" w:rsidRPr="00000000">
        <w:rPr>
          <w:u w:val="single"/>
          <w:rtl w:val="0"/>
        </w:rPr>
        <w:t xml:space="preserve">enables</w:t>
      </w:r>
      <w:r w:rsidDel="00000000" w:rsidR="00000000" w:rsidRPr="00000000">
        <w:rPr>
          <w:rtl w:val="0"/>
        </w:rPr>
        <w:t xml:space="preserve">' </w:t>
      </w:r>
      <w:r w:rsidDel="00000000" w:rsidR="00000000" w:rsidRPr="00000000">
        <w:rPr>
          <w:rtl w:val="0"/>
        </w:rPr>
        <w:t xml:space="preserve">molecular adaptor activity (</w:t>
      </w:r>
      <w:hyperlink r:id="rId6">
        <w:r w:rsidDel="00000000" w:rsidR="00000000" w:rsidRPr="00000000">
          <w:rPr>
            <w:color w:val="0563c1"/>
            <w:u w:val="single"/>
            <w:rtl w:val="0"/>
          </w:rPr>
          <w:t xml:space="preserve">GO:0060090</w:t>
        </w:r>
      </w:hyperlink>
      <w:r w:rsidDel="00000000" w:rsidR="00000000" w:rsidRPr="00000000">
        <w:rPr>
          <w:rtl w:val="0"/>
        </w:rPr>
        <w:t xml:space="preserve">) or a child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Context: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The relation between the adaptor activity and the two (or more) molecules it brings together is </w:t>
      </w:r>
      <w:r w:rsidDel="00000000" w:rsidR="00000000" w:rsidRPr="00000000">
        <w:rPr>
          <w:u w:val="single"/>
          <w:rtl w:val="0"/>
        </w:rPr>
        <w:t xml:space="preserve">'has input'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BP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rtl w:val="0"/>
        </w:rPr>
        <w:t xml:space="preserve">'</w:t>
      </w:r>
      <w:r w:rsidDel="00000000" w:rsidR="00000000" w:rsidRPr="00000000">
        <w:rPr>
          <w:u w:val="single"/>
          <w:rtl w:val="0"/>
        </w:rPr>
        <w:t xml:space="preserve">part of</w:t>
      </w:r>
      <w:r w:rsidDel="00000000" w:rsidR="00000000" w:rsidRPr="00000000">
        <w:rPr>
          <w:rtl w:val="0"/>
        </w:rPr>
        <w:t xml:space="preserve">'</w:t>
      </w:r>
      <w:r w:rsidDel="00000000" w:rsidR="00000000" w:rsidRPr="00000000">
        <w:rPr>
          <w:rtl w:val="0"/>
        </w:rPr>
        <w:t xml:space="preserve"> the BP in which the adaptor participates 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CC</w:t>
      </w:r>
      <w:r w:rsidDel="00000000" w:rsidR="00000000" w:rsidRPr="00000000">
        <w:rPr>
          <w:rtl w:val="0"/>
        </w:rPr>
        <w:t xml:space="preserve">: '</w:t>
      </w:r>
      <w:r w:rsidDel="00000000" w:rsidR="00000000" w:rsidRPr="00000000">
        <w:rPr>
          <w:u w:val="single"/>
          <w:rtl w:val="0"/>
        </w:rPr>
        <w:t xml:space="preserve">occurs in</w:t>
      </w:r>
      <w:r w:rsidDel="00000000" w:rsidR="00000000" w:rsidRPr="00000000">
        <w:rPr>
          <w:rtl w:val="0"/>
        </w:rPr>
        <w:t xml:space="preserve">' the cellular location where the activity takes place.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The relation between the adaptor and the proteins it adapts can be '</w:t>
      </w:r>
      <w:r w:rsidDel="00000000" w:rsidR="00000000" w:rsidRPr="00000000">
        <w:rPr>
          <w:u w:val="single"/>
          <w:rtl w:val="0"/>
        </w:rPr>
        <w:t xml:space="preserve">directly positively regulates</w:t>
      </w:r>
      <w:r w:rsidDel="00000000" w:rsidR="00000000" w:rsidRPr="00000000">
        <w:rPr>
          <w:rtl w:val="0"/>
        </w:rPr>
        <w:t xml:space="preserve">'</w:t>
      </w:r>
      <w:r w:rsidDel="00000000" w:rsidR="00000000" w:rsidRPr="00000000">
        <w:rPr>
          <w:rtl w:val="0"/>
        </w:rPr>
        <w:t xml:space="preserve">  or '</w:t>
      </w:r>
      <w:r w:rsidDel="00000000" w:rsidR="00000000" w:rsidRPr="00000000">
        <w:rPr>
          <w:u w:val="single"/>
          <w:rtl w:val="0"/>
        </w:rPr>
        <w:t xml:space="preserve">provides input for</w:t>
      </w:r>
      <w:r w:rsidDel="00000000" w:rsidR="00000000" w:rsidRPr="00000000">
        <w:rPr>
          <w:rtl w:val="0"/>
        </w:rPr>
        <w:t xml:space="preserve">', depending if the activity of the adaptor is regulatory.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Example 1: </w:t>
      </w:r>
      <w:hyperlink r:id="rId7">
        <w:r w:rsidDel="00000000" w:rsidR="00000000" w:rsidRPr="00000000">
          <w:rPr>
            <w:b w:val="1"/>
            <w:color w:val="0563c1"/>
            <w:u w:val="single"/>
            <w:rtl w:val="0"/>
          </w:rPr>
          <w:t xml:space="preserve">TYROBP acts as an adaptor between a receptor and a downstream effector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SIGLEC1 recognizes and endocytoses virions, which leads to activation of the TYROBP molecular adaptor, which recruits PTPN11. The scaffolding activity of PTPN11 is activated by TYROBP.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/>
        <w:drawing>
          <wp:inline distB="0" distT="0" distL="0" distR="0">
            <wp:extent cx="3565525" cy="1562100"/>
            <wp:effectExtent b="0" l="0" r="0" t="0"/>
            <wp:docPr descr="A screenshot of a computer&#10;&#10;Description automatically generated with medium confidence" id="3" name="image2.png"/>
            <a:graphic>
              <a:graphicData uri="http://schemas.openxmlformats.org/drawingml/2006/picture">
                <pic:pic>
                  <pic:nvPicPr>
                    <pic:cNvPr descr="A screenshot of a computer&#10;&#10;Description automatically generated with medium confidence" id="0" name="image2.png"/>
                    <pic:cNvPicPr preferRelativeResize="0"/>
                  </pic:nvPicPr>
                  <pic:blipFill>
                    <a:blip r:embed="rId8"/>
                    <a:srcRect b="37900" l="33362" r="21917" t="27285"/>
                    <a:stretch>
                      <a:fillRect/>
                    </a:stretch>
                  </pic:blipFill>
                  <pic:spPr>
                    <a:xfrm>
                      <a:off x="0" y="0"/>
                      <a:ext cx="3565525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Example 2: </w:t>
      </w:r>
      <w:hyperlink r:id="rId9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An adaptor that brings together an enzyme and its substrate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/>
        <w:drawing>
          <wp:inline distB="114300" distT="114300" distL="114300" distR="114300">
            <wp:extent cx="3305175" cy="206692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42358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20669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In that case, the relation between the adaptor activity and the downstream activity is '</w:t>
      </w:r>
      <w:r w:rsidDel="00000000" w:rsidR="00000000" w:rsidRPr="00000000">
        <w:rPr>
          <w:u w:val="single"/>
          <w:rtl w:val="0"/>
        </w:rPr>
        <w:t xml:space="preserve">provides input for</w:t>
      </w:r>
      <w:r w:rsidDel="00000000" w:rsidR="00000000" w:rsidRPr="00000000">
        <w:rPr>
          <w:rtl w:val="0"/>
        </w:rPr>
        <w:t xml:space="preserve">'.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2"/>
        <w:keepNext w:val="0"/>
        <w:keepLines w:val="0"/>
        <w:spacing w:before="0" w:line="276" w:lineRule="auto"/>
        <w:rPr>
          <w:rFonts w:ascii="Arial" w:cs="Arial" w:eastAsia="Arial" w:hAnsi="Arial"/>
          <w:color w:val="000000"/>
          <w:sz w:val="32"/>
          <w:szCs w:val="32"/>
        </w:rPr>
      </w:pPr>
      <w:bookmarkStart w:colFirst="0" w:colLast="0" w:name="_ji381mpge1tb" w:id="2"/>
      <w:bookmarkEnd w:id="2"/>
      <w:r w:rsidDel="00000000" w:rsidR="00000000" w:rsidRPr="00000000">
        <w:rPr>
          <w:rFonts w:ascii="Arial" w:cs="Arial" w:eastAsia="Arial" w:hAnsi="Arial"/>
          <w:color w:val="000000"/>
          <w:sz w:val="32"/>
          <w:szCs w:val="32"/>
          <w:rtl w:val="0"/>
        </w:rPr>
        <w:t xml:space="preserve">Form Editor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720" w:hanging="360"/>
      </w:pPr>
      <w:r w:rsidDel="00000000" w:rsidR="00000000" w:rsidRPr="00000000">
        <w:rPr>
          <w:b w:val="1"/>
          <w:rtl w:val="0"/>
        </w:rPr>
        <w:t xml:space="preserve">MF</w:t>
      </w:r>
      <w:r w:rsidDel="00000000" w:rsidR="00000000" w:rsidRPr="00000000">
        <w:rPr>
          <w:rtl w:val="0"/>
        </w:rPr>
        <w:t xml:space="preserve">: '</w:t>
      </w:r>
      <w:r w:rsidDel="00000000" w:rsidR="00000000" w:rsidRPr="00000000">
        <w:rPr>
          <w:u w:val="single"/>
          <w:rtl w:val="0"/>
        </w:rPr>
        <w:t xml:space="preserve">enables</w:t>
      </w:r>
      <w:r w:rsidDel="00000000" w:rsidR="00000000" w:rsidRPr="00000000">
        <w:rPr>
          <w:rtl w:val="0"/>
        </w:rPr>
        <w:t xml:space="preserve">' molecular adaptor activity (</w:t>
      </w:r>
      <w:hyperlink r:id="rId11">
        <w:r w:rsidDel="00000000" w:rsidR="00000000" w:rsidRPr="00000000">
          <w:rPr>
            <w:color w:val="0563c1"/>
            <w:u w:val="single"/>
            <w:rtl w:val="0"/>
          </w:rPr>
          <w:t xml:space="preserve">GO:0060090</w:t>
        </w:r>
      </w:hyperlink>
      <w:r w:rsidDel="00000000" w:rsidR="00000000" w:rsidRPr="00000000">
        <w:rPr>
          <w:rtl w:val="0"/>
        </w:rPr>
        <w:t xml:space="preserve">) or a child 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lin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Context: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The relation between the adaptor activity and the two (or more) molecules it brings together is </w:t>
      </w:r>
      <w:r w:rsidDel="00000000" w:rsidR="00000000" w:rsidRPr="00000000">
        <w:rPr>
          <w:u w:val="single"/>
          <w:rtl w:val="0"/>
        </w:rPr>
        <w:t xml:space="preserve">'has input'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ind w:left="1440" w:hanging="360"/>
      </w:pPr>
      <w:r w:rsidDel="00000000" w:rsidR="00000000" w:rsidRPr="00000000">
        <w:rPr>
          <w:b w:val="1"/>
          <w:rtl w:val="0"/>
        </w:rPr>
        <w:t xml:space="preserve">BP</w:t>
      </w:r>
      <w:r w:rsidDel="00000000" w:rsidR="00000000" w:rsidRPr="00000000">
        <w:rPr>
          <w:rtl w:val="0"/>
        </w:rPr>
        <w:t xml:space="preserve">: '</w:t>
      </w:r>
      <w:r w:rsidDel="00000000" w:rsidR="00000000" w:rsidRPr="00000000">
        <w:rPr>
          <w:u w:val="single"/>
          <w:rtl w:val="0"/>
        </w:rPr>
        <w:t xml:space="preserve">part of</w:t>
      </w:r>
      <w:r w:rsidDel="00000000" w:rsidR="00000000" w:rsidRPr="00000000">
        <w:rPr>
          <w:rtl w:val="0"/>
        </w:rPr>
        <w:t xml:space="preserve">' the BP in which the adaptor participates </w:t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ind w:left="1440" w:hanging="360"/>
      </w:pPr>
      <w:r w:rsidDel="00000000" w:rsidR="00000000" w:rsidRPr="00000000">
        <w:rPr>
          <w:b w:val="1"/>
          <w:rtl w:val="0"/>
        </w:rPr>
        <w:t xml:space="preserve">CC</w:t>
      </w:r>
      <w:r w:rsidDel="00000000" w:rsidR="00000000" w:rsidRPr="00000000">
        <w:rPr>
          <w:rtl w:val="0"/>
        </w:rPr>
        <w:t xml:space="preserve">: '</w:t>
      </w:r>
      <w:r w:rsidDel="00000000" w:rsidR="00000000" w:rsidRPr="00000000">
        <w:rPr>
          <w:u w:val="single"/>
          <w:rtl w:val="0"/>
        </w:rPr>
        <w:t xml:space="preserve">occurs in</w:t>
      </w:r>
      <w:r w:rsidDel="00000000" w:rsidR="00000000" w:rsidRPr="00000000">
        <w:rPr>
          <w:rtl w:val="0"/>
        </w:rPr>
        <w:t xml:space="preserve">' the cellular location where the activity takes place.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2908300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908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1"/>
        <w:spacing w:after="0" w:before="0" w:line="276" w:lineRule="auto"/>
        <w:rPr/>
      </w:pPr>
      <w:bookmarkStart w:colFirst="0" w:colLast="0" w:name="_8x10te92i4uq" w:id="3"/>
      <w:bookmarkEnd w:id="3"/>
      <w:r w:rsidDel="00000000" w:rsidR="00000000" w:rsidRPr="00000000">
        <w:rPr>
          <w:rtl w:val="0"/>
        </w:rPr>
        <w:t xml:space="preserve">Differences between GO-CAM and standard annotation of a molecular adaptor activity</w:t>
      </w:r>
    </w:p>
    <w:p w:rsidR="00000000" w:rsidDel="00000000" w:rsidP="00000000" w:rsidRDefault="00000000" w:rsidRPr="00000000" w14:paraId="0000002D">
      <w:pPr>
        <w:spacing w:line="276" w:lineRule="auto"/>
        <w:rPr/>
      </w:pPr>
      <w:r w:rsidDel="00000000" w:rsidR="00000000" w:rsidRPr="00000000">
        <w:rPr>
          <w:rtl w:val="0"/>
        </w:rPr>
        <w:t xml:space="preserve">In standard annotation (captured with the Noctua Form or Protein2GO), relations between molecular functions are not captured.</w:t>
      </w:r>
    </w:p>
    <w:p w:rsidR="00000000" w:rsidDel="00000000" w:rsidP="00000000" w:rsidRDefault="00000000" w:rsidRPr="00000000" w14:paraId="0000002E">
      <w:pPr>
        <w:pStyle w:val="Heading1"/>
        <w:spacing w:after="0" w:before="0" w:line="276" w:lineRule="auto"/>
        <w:rPr/>
      </w:pPr>
      <w:bookmarkStart w:colFirst="0" w:colLast="0" w:name="_4r3pf1klbcb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1"/>
        <w:spacing w:after="0" w:before="0" w:line="276" w:lineRule="auto"/>
        <w:rPr/>
      </w:pPr>
      <w:bookmarkStart w:colFirst="0" w:colLast="0" w:name="_uy53gzyjxu7v" w:id="5"/>
      <w:bookmarkEnd w:id="5"/>
      <w:r w:rsidDel="00000000" w:rsidR="00000000" w:rsidRPr="00000000">
        <w:rPr>
          <w:rtl w:val="0"/>
        </w:rPr>
        <w:t xml:space="preserve">Review information</w:t>
      </w:r>
    </w:p>
    <w:p w:rsidR="00000000" w:rsidDel="00000000" w:rsidP="00000000" w:rsidRDefault="00000000" w:rsidRPr="00000000" w14:paraId="00000030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76" w:lineRule="auto"/>
        <w:rPr/>
      </w:pPr>
      <w:r w:rsidDel="00000000" w:rsidR="00000000" w:rsidRPr="00000000">
        <w:rPr>
          <w:rtl w:val="0"/>
        </w:rPr>
        <w:t xml:space="preserve">Review date: 2023-07-20</w:t>
      </w:r>
    </w:p>
    <w:p w:rsidR="00000000" w:rsidDel="00000000" w:rsidP="00000000" w:rsidRDefault="00000000" w:rsidRPr="00000000" w14:paraId="00000032">
      <w:pPr>
        <w:spacing w:line="276" w:lineRule="auto"/>
        <w:rPr/>
      </w:pPr>
      <w:r w:rsidDel="00000000" w:rsidR="00000000" w:rsidRPr="00000000">
        <w:rPr>
          <w:rtl w:val="0"/>
        </w:rPr>
        <w:t xml:space="preserve">Reviewed by: Cristina Casals, Pascale Gaudet, Patrick Masson</w:t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ebi.ac.uk/QuickGO/term/GO:0060090" TargetMode="External"/><Relationship Id="rId10" Type="http://schemas.openxmlformats.org/officeDocument/2006/relationships/image" Target="media/image1.png"/><Relationship Id="rId12" Type="http://schemas.openxmlformats.org/officeDocument/2006/relationships/image" Target="media/image3.png"/><Relationship Id="rId9" Type="http://schemas.openxmlformats.org/officeDocument/2006/relationships/hyperlink" Target="http://noctua.geneontology.org/workbench/noctua-visual-pathway-editor/?model_id=gomodel%3A636d9ce800001192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ebi.ac.uk/QuickGO/term/GO:0060090" TargetMode="External"/><Relationship Id="rId7" Type="http://schemas.openxmlformats.org/officeDocument/2006/relationships/hyperlink" Target="http://noctua.geneontology.org/workbench/noctua-visual-pathway-editor/?model_id=gomodel%3A633b013300001197" TargetMode="Externa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