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S</w:t>
      </w:r>
      <w:r w:rsidDel="00000000" w:rsidR="00000000" w:rsidRPr="00000000">
        <w:rPr>
          <w:rtl w:val="0"/>
        </w:rPr>
        <w:t xml:space="preserve">equestering activity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 sequestering activity is defined as the binding to a specific molecule to prevent it from interacting with other partners or to inhibit its localization to the area of the cell or complex where the target is active.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1"/>
        <w:keepNext w:val="0"/>
        <w:keepLines w:val="0"/>
        <w:spacing w:after="0" w:before="0" w:line="240" w:lineRule="auto"/>
        <w:rPr/>
      </w:pPr>
      <w:bookmarkStart w:colFirst="0" w:colLast="0" w:name="_heading=h.s93n81bnodzh" w:id="1"/>
      <w:bookmarkEnd w:id="1"/>
      <w:r w:rsidDel="00000000" w:rsidR="00000000" w:rsidRPr="00000000">
        <w:rPr>
          <w:rtl w:val="0"/>
        </w:rPr>
        <w:t xml:space="preserve">Pathway Editor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  <w:t xml:space="preserve">The activity unit for </w:t>
      </w:r>
      <w:r w:rsidDel="00000000" w:rsidR="00000000" w:rsidRPr="00000000">
        <w:rPr>
          <w:u w:val="single"/>
          <w:rtl w:val="0"/>
        </w:rPr>
        <w:t xml:space="preserve">sequestering activity</w:t>
      </w:r>
      <w:r w:rsidDel="00000000" w:rsidR="00000000" w:rsidRPr="00000000">
        <w:rPr>
          <w:rtl w:val="0"/>
        </w:rPr>
        <w:t xml:space="preserve"> is: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MF</w:t>
      </w:r>
      <w:r w:rsidDel="00000000" w:rsidR="00000000" w:rsidRPr="00000000">
        <w:rPr>
          <w:rtl w:val="0"/>
        </w:rPr>
        <w:t xml:space="preserve">: molecular sequestering activity (</w:t>
      </w:r>
      <w:hyperlink r:id="rId7">
        <w:r w:rsidDel="00000000" w:rsidR="00000000" w:rsidRPr="00000000">
          <w:rPr>
            <w:color w:val="0563c1"/>
            <w:u w:val="single"/>
            <w:rtl w:val="0"/>
          </w:rPr>
          <w:t xml:space="preserve">GO:0140313</w:t>
        </w:r>
      </w:hyperlink>
      <w:r w:rsidDel="00000000" w:rsidR="00000000" w:rsidRPr="00000000">
        <w:rPr>
          <w:rtl w:val="0"/>
        </w:rPr>
        <w:t xml:space="preserve">) or a child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240" w:lineRule="auto"/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Context: 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The relation between the protein that act to sequester and its target receptor is </w:t>
      </w:r>
      <w:r w:rsidDel="00000000" w:rsidR="00000000" w:rsidRPr="00000000">
        <w:rPr>
          <w:i w:val="1"/>
          <w:rtl w:val="0"/>
        </w:rPr>
        <w:t xml:space="preserve">'</w:t>
      </w:r>
      <w:r w:rsidDel="00000000" w:rsidR="00000000" w:rsidRPr="00000000">
        <w:rPr>
          <w:u w:val="single"/>
          <w:rtl w:val="0"/>
        </w:rPr>
        <w:t xml:space="preserve">has input'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BP</w:t>
      </w:r>
      <w:r w:rsidDel="00000000" w:rsidR="00000000" w:rsidRPr="00000000">
        <w:rPr>
          <w:rtl w:val="0"/>
        </w:rPr>
        <w:t xml:space="preserve">: </w:t>
      </w:r>
      <w:r w:rsidDel="00000000" w:rsidR="00000000" w:rsidRPr="00000000">
        <w:rPr>
          <w:highlight w:val="yellow"/>
          <w:rtl w:val="0"/>
        </w:rPr>
        <w:t xml:space="preserve">the BP it inhibits 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CC</w:t>
      </w:r>
      <w:r w:rsidDel="00000000" w:rsidR="00000000" w:rsidRPr="00000000">
        <w:rPr>
          <w:rtl w:val="0"/>
        </w:rPr>
        <w:t xml:space="preserve">: the place where the activity occurs.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The causal relation between the </w:t>
      </w:r>
      <w:r w:rsidDel="00000000" w:rsidR="00000000" w:rsidRPr="00000000">
        <w:rPr>
          <w:b w:val="1"/>
          <w:rtl w:val="0"/>
        </w:rPr>
        <w:t xml:space="preserve">sequestering activity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and the </w:t>
      </w:r>
      <w:r w:rsidDel="00000000" w:rsidR="00000000" w:rsidRPr="00000000">
        <w:rPr>
          <w:rtl w:val="0"/>
        </w:rPr>
        <w:t xml:space="preserve">activity of the protein it inhibits is '</w:t>
      </w:r>
      <w:r w:rsidDel="00000000" w:rsidR="00000000" w:rsidRPr="00000000">
        <w:rPr>
          <w:u w:val="single"/>
          <w:rtl w:val="0"/>
        </w:rPr>
        <w:t xml:space="preserve">directly positively regulates</w:t>
      </w:r>
      <w:r w:rsidDel="00000000" w:rsidR="00000000" w:rsidRPr="00000000">
        <w:rPr>
          <w:rtl w:val="0"/>
        </w:rPr>
        <w:t xml:space="preserve">'.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Example 1: </w:t>
      </w:r>
      <w:hyperlink r:id="rId8">
        <w:r w:rsidDel="00000000" w:rsidR="00000000" w:rsidRPr="00000000">
          <w:rPr>
            <w:color w:val="0563c1"/>
            <w:u w:val="single"/>
            <w:rtl w:val="0"/>
          </w:rPr>
          <w:t xml:space="preserve">Sequestering activity of CAV1 on TLR4 signaling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/>
        <w:drawing>
          <wp:inline distB="0" distT="0" distL="0" distR="0">
            <wp:extent cx="5978846" cy="1543988"/>
            <wp:effectExtent b="0" l="0" r="0" t="0"/>
            <wp:docPr descr="A screenshot of a computer&#10;&#10;Description automatically generated with medium confidence" id="2128363808" name="image1.png"/>
            <a:graphic>
              <a:graphicData uri="http://schemas.openxmlformats.org/drawingml/2006/picture">
                <pic:pic>
                  <pic:nvPicPr>
                    <pic:cNvPr descr="A screenshot of a computer&#10;&#10;Description automatically generated with medium confidence" id="0" name="image1.png"/>
                    <pic:cNvPicPr preferRelativeResize="0"/>
                  </pic:nvPicPr>
                  <pic:blipFill>
                    <a:blip r:embed="rId9"/>
                    <a:srcRect b="28500" l="7313" r="1950" t="29841"/>
                    <a:stretch>
                      <a:fillRect/>
                    </a:stretch>
                  </pic:blipFill>
                  <pic:spPr>
                    <a:xfrm>
                      <a:off x="0" y="0"/>
                      <a:ext cx="5978846" cy="15439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The molecular activity unit for molecular adaptor may include: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o </w:t>
      </w:r>
      <w:r w:rsidDel="00000000" w:rsidR="00000000" w:rsidRPr="00000000">
        <w:rPr>
          <w:b w:val="1"/>
          <w:rtl w:val="0"/>
        </w:rPr>
        <w:t xml:space="preserve">MF</w:t>
      </w:r>
      <w:r w:rsidDel="00000000" w:rsidR="00000000" w:rsidRPr="00000000">
        <w:rPr>
          <w:rtl w:val="0"/>
        </w:rPr>
        <w:t xml:space="preserve">: molecular sequestering activity (</w:t>
      </w:r>
      <w:hyperlink r:id="rId10">
        <w:r w:rsidDel="00000000" w:rsidR="00000000" w:rsidRPr="00000000">
          <w:rPr>
            <w:color w:val="0563c1"/>
            <w:u w:val="single"/>
            <w:rtl w:val="0"/>
          </w:rPr>
          <w:t xml:space="preserve">GO:0140313</w:t>
        </w:r>
      </w:hyperlink>
      <w:r w:rsidDel="00000000" w:rsidR="00000000" w:rsidRPr="00000000">
        <w:rPr>
          <w:rtl w:val="0"/>
        </w:rPr>
        <w:t xml:space="preserve">) or one of its children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o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The relation with the downstream activity used is </w:t>
      </w:r>
      <w:r w:rsidDel="00000000" w:rsidR="00000000" w:rsidRPr="00000000">
        <w:rPr>
          <w:b w:val="1"/>
          <w:rtl w:val="0"/>
        </w:rPr>
        <w:t xml:space="preserve">“directly negatively regulates”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Example 2: </w:t>
      </w:r>
      <w:hyperlink r:id="rId11">
        <w:r w:rsidDel="00000000" w:rsidR="00000000" w:rsidRPr="00000000">
          <w:rPr>
            <w:color w:val="0563c1"/>
            <w:u w:val="single"/>
            <w:rtl w:val="0"/>
          </w:rPr>
          <w:t xml:space="preserve">Sequestering activity of YWHAZ on RAF1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/>
        <w:drawing>
          <wp:inline distB="0" distT="0" distL="0" distR="0">
            <wp:extent cx="4889684" cy="1456742"/>
            <wp:effectExtent b="0" l="0" r="0" t="0"/>
            <wp:docPr id="2128363809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 b="12546" l="23265" r="4775" t="49340"/>
                    <a:stretch>
                      <a:fillRect/>
                    </a:stretch>
                  </pic:blipFill>
                  <pic:spPr>
                    <a:xfrm>
                      <a:off x="0" y="0"/>
                      <a:ext cx="4889684" cy="145674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In that example, the difference in the cellular component between the two activities clearly show that the YWHAZ protein sequesters RAF1 in the cytoplasm, preventing its activity in the plasma membrane.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The relation used between both activities is </w:t>
      </w:r>
      <w:r w:rsidDel="00000000" w:rsidR="00000000" w:rsidRPr="00000000">
        <w:rPr>
          <w:b w:val="1"/>
          <w:rtl w:val="0"/>
        </w:rPr>
        <w:t xml:space="preserve">“directly negatively regulates”</w:t>
      </w:r>
      <w:r w:rsidDel="00000000" w:rsidR="00000000" w:rsidRPr="00000000">
        <w:rPr>
          <w:rtl w:val="0"/>
        </w:rPr>
        <w:t xml:space="preserve"> because there is direct interaction between both proteins.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Heading1"/>
        <w:keepNext w:val="0"/>
        <w:keepLines w:val="0"/>
        <w:spacing w:after="0" w:before="0" w:line="240" w:lineRule="auto"/>
        <w:rPr/>
      </w:pPr>
      <w:bookmarkStart w:colFirst="0" w:colLast="0" w:name="_heading=h.48d4dap9ofu4" w:id="2"/>
      <w:bookmarkEnd w:id="2"/>
      <w:r w:rsidDel="00000000" w:rsidR="00000000" w:rsidRPr="00000000">
        <w:rPr>
          <w:rtl w:val="0"/>
        </w:rPr>
        <w:t xml:space="preserve">Form Editor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rPr/>
      </w:pPr>
      <w:r w:rsidDel="00000000" w:rsidR="00000000" w:rsidRPr="00000000">
        <w:rPr>
          <w:rtl w:val="0"/>
        </w:rPr>
        <w:t xml:space="preserve">Review date: 2023-06-22</w:t>
      </w:r>
    </w:p>
    <w:p w:rsidR="00000000" w:rsidDel="00000000" w:rsidP="00000000" w:rsidRDefault="00000000" w:rsidRPr="00000000" w14:paraId="00000030">
      <w:pPr>
        <w:spacing w:line="240" w:lineRule="auto"/>
        <w:rPr/>
      </w:pPr>
      <w:r w:rsidDel="00000000" w:rsidR="00000000" w:rsidRPr="00000000">
        <w:rPr>
          <w:rtl w:val="0"/>
        </w:rPr>
        <w:t xml:space="preserve">Reviewed by: Pascale Gaudet, Patrick Masson</w:t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U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1f3863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9A6710"/>
    <w:pPr>
      <w:spacing w:after="0" w:line="276" w:lineRule="auto"/>
    </w:pPr>
    <w:rPr>
      <w:rFonts w:ascii="Arial" w:cs="Arial" w:eastAsia="Arial" w:hAnsi="Arial"/>
      <w:kern w:val="0"/>
      <w:lang w:eastAsia="en-CH" w:val="fr"/>
    </w:rPr>
  </w:style>
  <w:style w:type="paragraph" w:styleId="Heading1">
    <w:name w:val="heading 1"/>
    <w:basedOn w:val="Normal"/>
    <w:next w:val="Normal"/>
    <w:link w:val="Heading1Char"/>
    <w:uiPriority w:val="9"/>
    <w:qFormat w:val="1"/>
    <w:rsid w:val="009A6710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1031C5"/>
    <w:pPr>
      <w:keepNext w:val="1"/>
      <w:keepLines w:val="1"/>
      <w:spacing w:before="40"/>
      <w:outlineLvl w:val="1"/>
    </w:pPr>
    <w:rPr>
      <w:rFonts w:asciiTheme="majorHAnsi" w:cstheme="majorBidi" w:eastAsiaTheme="majorEastAsia" w:hAnsiTheme="majorHAnsi"/>
      <w:color w:val="2f5496" w:themeColor="accent1" w:themeShade="0000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C609B9"/>
    <w:pPr>
      <w:keepNext w:val="1"/>
      <w:keepLines w:val="1"/>
      <w:spacing w:before="40"/>
      <w:outlineLvl w:val="2"/>
    </w:pPr>
    <w:rPr>
      <w:rFonts w:asciiTheme="majorHAnsi" w:cstheme="majorBidi" w:eastAsiaTheme="majorEastAsia" w:hAnsiTheme="majorHAnsi"/>
      <w:color w:val="1f3763" w:themeColor="accent1" w:themeShade="00007F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9A6710"/>
    <w:rPr>
      <w:rFonts w:ascii="Arial" w:cs="Arial" w:eastAsia="Arial" w:hAnsi="Arial"/>
      <w:kern w:val="0"/>
      <w:sz w:val="40"/>
      <w:szCs w:val="40"/>
      <w:lang w:eastAsia="en-CH" w:val="fr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1031C5"/>
    <w:rPr>
      <w:rFonts w:asciiTheme="majorHAnsi" w:cstheme="majorBidi" w:eastAsiaTheme="majorEastAsia" w:hAnsiTheme="majorHAnsi"/>
      <w:color w:val="2f5496" w:themeColor="accent1" w:themeShade="0000BF"/>
      <w:kern w:val="0"/>
      <w:sz w:val="26"/>
      <w:szCs w:val="26"/>
      <w:lang w:eastAsia="en-CH" w:val="fr"/>
    </w:rPr>
  </w:style>
  <w:style w:type="character" w:styleId="Hyperlink">
    <w:name w:val="Hyperlink"/>
    <w:basedOn w:val="DefaultParagraphFont"/>
    <w:uiPriority w:val="99"/>
    <w:unhideWhenUsed w:val="1"/>
    <w:rsid w:val="001031C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1031C5"/>
    <w:rPr>
      <w:color w:val="605e5c"/>
      <w:shd w:color="auto" w:fill="e1dfdd" w:val="clear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C609B9"/>
    <w:rPr>
      <w:rFonts w:asciiTheme="majorHAnsi" w:cstheme="majorBidi" w:eastAsiaTheme="majorEastAsia" w:hAnsiTheme="majorHAnsi"/>
      <w:color w:val="1f3763" w:themeColor="accent1" w:themeShade="00007F"/>
      <w:kern w:val="0"/>
      <w:sz w:val="24"/>
      <w:szCs w:val="24"/>
      <w:lang w:eastAsia="en-CH" w:val="f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://noctua.geneontology.org/workbench/noctua-visual-pathway-editor/?model_id=gomodel%3A63d320cd00000820" TargetMode="External"/><Relationship Id="rId10" Type="http://schemas.openxmlformats.org/officeDocument/2006/relationships/hyperlink" Target="https://www.ebi.ac.uk/QuickGO/term/GO:0140313" TargetMode="External"/><Relationship Id="rId12" Type="http://schemas.openxmlformats.org/officeDocument/2006/relationships/image" Target="media/image2.png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ebi.ac.uk/QuickGO/term/GO:0140313" TargetMode="External"/><Relationship Id="rId8" Type="http://schemas.openxmlformats.org/officeDocument/2006/relationships/hyperlink" Target="http://noctua.geneontology.org/workbench/noctua-visual-pathway-editor/?model_id=gomodel%3A645d8879000014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6advWd1N3mrmaMhy5Akpl/AIB8w==">CgMxLjAyCGguZ2pkZ3hzMg5oLnM5M244MWJub2R6aDIOaC40OGQ0ZGFwOW9mdTQ4AHIhMVI2RjlNc3VyQUhHdzcyNGJ1cmx1WnRiSWxoRlBSY0d4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2023-06-19T06:42:00Z</dcterms:created>
  <dc:creator>Patrick Marc David Masson</dc:creator>
</cp:coreProperties>
</file>