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Q4 Strategy Playbook</w:t>
      </w:r>
    </w:p>
    <w:p>
      <w:r>
        <w:t>This playbook outlines the priorities and initiatives for Q4. The focus is on platform stability, user growth, and improved developer experience.</w:t>
      </w:r>
    </w:p>
    <w:p>
      <w:pPr>
        <w:pStyle w:val="Heading2"/>
      </w:pPr>
      <w:r>
        <w:t>Objectives</w:t>
      </w:r>
    </w:p>
    <w:p>
      <w:pPr>
        <w:pStyle w:val="ListBullet"/>
      </w:pPr>
      <w:r>
        <w:t>Stabilize core services and reduce critical incidents by 40%.</w:t>
      </w:r>
    </w:p>
    <w:p>
      <w:pPr>
        <w:pStyle w:val="ListBullet"/>
      </w:pPr>
      <w:r>
        <w:t>Increase weekly active users (WAU) by 15%.</w:t>
      </w:r>
    </w:p>
    <w:p>
      <w:pPr>
        <w:pStyle w:val="ListBullet"/>
      </w:pPr>
      <w:r>
        <w:t>Improve developer onboarding time by 30%.</w:t>
      </w:r>
    </w:p>
    <w:p>
      <w:pPr>
        <w:pStyle w:val="Heading2"/>
      </w:pPr>
      <w:r>
        <w:t>Key Results</w:t>
      </w:r>
    </w:p>
    <w:p>
      <w:pPr>
        <w:pStyle w:val="ListNumber"/>
      </w:pPr>
      <w:r>
        <w:t>MTTR under 20 minutes for SEV-2 incidents.</w:t>
      </w:r>
    </w:p>
    <w:p>
      <w:pPr>
        <w:pStyle w:val="ListNumber"/>
      </w:pPr>
      <w:r>
        <w:t>Avg p95 latency &lt; 250ms on core APIs.</w:t>
      </w:r>
    </w:p>
    <w:p>
      <w:pPr>
        <w:pStyle w:val="ListNumber"/>
      </w:pPr>
      <w:r>
        <w:t>Ship self-serve docs site with 50+ guides.</w:t>
      </w:r>
    </w:p>
    <w:p>
      <w:r>
        <w:t xml:space="preserve">See the detailed roadmap at </w:t>
      </w:r>
      <w:r>
        <w:rPr>
          <w:color w:val="00009F"/>
          <w:u w:val="single"/>
        </w:rPr>
        <w:t>https://example.com/roadmap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