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pPr>
      <w:bookmarkStart w:id="0" w:name="_9mot8l9q822w" w:colFirst="0" w:colLast="0"/>
      <w:bookmarkEnd w:id="0"/>
      <w:r>
        <w:rPr>
          <w:rtl w:val="0"/>
        </w:rPr>
        <w:t>Medical Laboratory Report</w:t>
      </w:r>
    </w:p>
    <w:p>
      <w:pPr>
        <w:pStyle w:val="2"/>
      </w:pPr>
      <w:bookmarkStart w:id="1" w:name="_jd3dvyuqllw5" w:colFirst="0" w:colLast="0"/>
      <w:bookmarkEnd w:id="1"/>
      <w:r>
        <w:rPr>
          <w:rtl w:val="0"/>
        </w:rPr>
        <w:t>Patient Information</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Patient Name:</w:t>
      </w:r>
      <w:r>
        <w:rPr>
          <w:rtl w:val="0"/>
        </w:rPr>
        <w:t xml:space="preserve"> </w:t>
      </w:r>
      <w:r>
        <w:rPr>
          <w:rFonts w:hint="default"/>
          <w:rtl w:val="0"/>
          <w:lang w:val="en-US"/>
        </w:rPr>
        <w:t>John Doe</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Date of Birth:</w:t>
      </w:r>
      <w:r>
        <w:rPr>
          <w:rtl w:val="0"/>
        </w:rPr>
        <w:t xml:space="preserve"> Jul 18, 2025</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Patient ID:</w:t>
      </w:r>
      <w:r>
        <w:rPr>
          <w:rtl w:val="0"/>
        </w:rPr>
        <w:t xml:space="preserve"> 123456789</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Referring Physician:</w:t>
      </w:r>
      <w:r>
        <w:rPr>
          <w:rtl w:val="0"/>
        </w:rPr>
        <w:t xml:space="preserve"> Dr. </w:t>
      </w:r>
      <w:r>
        <w:rPr>
          <w:rFonts w:hint="default"/>
          <w:rtl w:val="0"/>
          <w:lang w:val="en-US"/>
        </w:rPr>
        <w:t>Martin Philips</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Collection Date:</w:t>
      </w:r>
      <w:r>
        <w:rPr>
          <w:rtl w:val="0"/>
        </w:rPr>
        <w:t xml:space="preserve"> Jul 11, 2025</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Report Date:</w:t>
      </w:r>
      <w:r>
        <w:rPr>
          <w:rtl w:val="0"/>
        </w:rPr>
        <w:t xml:space="preserve"> Jul 12, 2025</w:t>
      </w:r>
    </w:p>
    <w:p>
      <w:pPr>
        <w:pStyle w:val="2"/>
      </w:pPr>
      <w:bookmarkStart w:id="2" w:name="_mgmyfh9fz745" w:colFirst="0" w:colLast="0"/>
      <w:bookmarkEnd w:id="2"/>
      <w:r>
        <w:rPr>
          <w:rtl w:val="0"/>
        </w:rPr>
        <w:t>Clinical Summary</w:t>
      </w:r>
    </w:p>
    <w:p>
      <w:r>
        <w:rPr>
          <w:rtl w:val="0"/>
        </w:rPr>
        <w:t>This report details the results of a routine blood panel ordered for a comprehensive health assessment. The patient presented with no specific complaints at the time of sample collection. The tests were performed to establish baseline values and screen for any potential abnormalities.</w:t>
      </w:r>
    </w:p>
    <w:p>
      <w:pPr>
        <w:pStyle w:val="2"/>
      </w:pPr>
      <w:bookmarkStart w:id="3" w:name="_lo7j9h4lmohi" w:colFirst="0" w:colLast="0"/>
      <w:bookmarkEnd w:id="3"/>
      <w:r>
        <w:rPr>
          <w:rtl w:val="0"/>
        </w:rPr>
        <w:t>Hematology Results</w:t>
      </w:r>
    </w:p>
    <w:p>
      <w:r>
        <w:rPr>
          <w:rtl w:val="0"/>
        </w:rPr>
        <w:t>The hematology panel provides an overview of the patient's blood components.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tbl>
      <w:tblPr>
        <w:tblStyle w:val="13"/>
        <w:tblW w:w="17500" w:type="dxa"/>
        <w:tblInd w:w="0" w:type="dxa"/>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Layout w:type="fixed"/>
        <w:tblCellMar>
          <w:top w:w="100" w:type="dxa"/>
          <w:left w:w="100" w:type="dxa"/>
          <w:bottom w:w="100" w:type="dxa"/>
          <w:right w:w="100" w:type="dxa"/>
        </w:tblCellMar>
      </w:tblPr>
      <w:tblGrid>
        <w:gridCol w:w="3500"/>
        <w:gridCol w:w="3500"/>
        <w:gridCol w:w="3500"/>
        <w:gridCol w:w="3500"/>
        <w:gridCol w:w="3500"/>
      </w:tblGrid>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708" w:hRule="atLeast"/>
          <w:tblHeader/>
        </w:trPr>
        <w:tc>
          <w:p>
            <w:r>
              <w:rPr>
                <w:rtl w:val="0"/>
              </w:rPr>
              <w:t>Test Name</w:t>
            </w:r>
          </w:p>
        </w:tc>
        <w:tc>
          <w:p>
            <w:r>
              <w:rPr>
                <w:rtl w:val="0"/>
              </w:rPr>
              <w:t>Result</w:t>
            </w:r>
          </w:p>
        </w:tc>
        <w:tc>
          <w:p>
            <w:r>
              <w:rPr>
                <w:rtl w:val="0"/>
              </w:rPr>
              <w:t>Reference Range</w:t>
            </w:r>
          </w:p>
        </w:tc>
        <w:tc>
          <w:p>
            <w:r>
              <w:rPr>
                <w:rtl w:val="0"/>
              </w:rPr>
              <w:t>Unit</w:t>
            </w:r>
          </w:p>
        </w:tc>
        <w:tc>
          <w:p>
            <w:r>
              <w:rPr>
                <w:rtl w:val="0"/>
              </w:rPr>
              <w:t>Interpretation</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White Blood Cell Count</w:t>
            </w:r>
          </w:p>
        </w:tc>
        <w:tc>
          <w:p>
            <w:r>
              <w:rPr>
                <w:rtl w:val="0"/>
              </w:rPr>
              <w:t>7.2</w:t>
            </w:r>
          </w:p>
        </w:tc>
        <w:tc>
          <w:p>
            <w:r>
              <w:rPr>
                <w:rtl w:val="0"/>
              </w:rPr>
              <w:t>4.0 - 10.0</w:t>
            </w:r>
          </w:p>
        </w:tc>
        <w:tc>
          <w:p>
            <w:r>
              <w:rPr>
                <w:rtl w:val="0"/>
              </w:rPr>
              <w:t>x10^9/L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Red Blood Cell Count</w:t>
            </w:r>
          </w:p>
        </w:tc>
        <w:tc>
          <w:p>
            <w:r>
              <w:rPr>
                <w:rtl w:val="0"/>
              </w:rPr>
              <w:t>4.8</w:t>
            </w:r>
          </w:p>
        </w:tc>
        <w:tc>
          <w:p>
            <w:r>
              <w:rPr>
                <w:rtl w:val="0"/>
              </w:rPr>
              <w:t>4.2 - 5.4</w:t>
            </w:r>
          </w:p>
        </w:tc>
        <w:tc>
          <w:p>
            <w:r>
              <w:rPr>
                <w:rtl w:val="0"/>
              </w:rPr>
              <w:t>x10^12/L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Hemoglobin</w:t>
            </w:r>
          </w:p>
        </w:tc>
        <w:tc>
          <w:p>
            <w:r>
              <w:rPr>
                <w:rtl w:val="0"/>
              </w:rPr>
              <w:t>14.5</w:t>
            </w:r>
          </w:p>
        </w:tc>
        <w:tc>
          <w:p>
            <w:r>
              <w:rPr>
                <w:rtl w:val="0"/>
              </w:rPr>
              <w:t>13.0 - 17.0</w:t>
            </w:r>
          </w:p>
        </w:tc>
        <w:tc>
          <w:p>
            <w:r>
              <w:rPr>
                <w:rtl w:val="0"/>
              </w:rPr>
              <w:t>g/dL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Hematocrit</w:t>
            </w:r>
          </w:p>
        </w:tc>
        <w:tc>
          <w:p>
            <w:r>
              <w:rPr>
                <w:rtl w:val="0"/>
              </w:rPr>
              <w:t>42.1</w:t>
            </w:r>
          </w:p>
        </w:tc>
        <w:tc>
          <w:p>
            <w:r>
              <w:rPr>
                <w:rtl w:val="0"/>
              </w:rPr>
              <w:t>38.0 - 50.0</w:t>
            </w:r>
          </w:p>
        </w:tc>
        <w:tc>
          <w:p>
            <w:r>
              <w:rPr>
                <w:rtl w:val="0"/>
              </w:rPr>
              <w:t>%</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Platelet Count</w:t>
            </w:r>
          </w:p>
        </w:tc>
        <w:tc>
          <w:p>
            <w:r>
              <w:rPr>
                <w:rtl w:val="0"/>
              </w:rPr>
              <w:t>250</w:t>
            </w:r>
          </w:p>
        </w:tc>
        <w:tc>
          <w:p>
            <w:r>
              <w:rPr>
                <w:rtl w:val="0"/>
              </w:rPr>
              <w:t>150 - 400</w:t>
            </w:r>
          </w:p>
        </w:tc>
        <w:tc>
          <w:p>
            <w:r>
              <w:rPr>
                <w:rtl w:val="0"/>
              </w:rPr>
              <w:t>x10^9/L</w:t>
            </w:r>
          </w:p>
        </w:tc>
        <w:tc>
          <w:p>
            <w:r>
              <w:rPr>
                <w:rtl w:val="0"/>
              </w:rPr>
              <w:t>Normal</w:t>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p>
      <w:bookmarkStart w:id="7" w:name="_GoBack"/>
      <w:r>
        <w:drawing>
          <wp:inline distT="114300" distB="114300" distL="114300" distR="114300">
            <wp:extent cx="11430000" cy="7073900"/>
            <wp:effectExtent l="0" t="0" r="0" b="0"/>
            <wp:docPr id="1" name="image1.png" descr="Points scored"/>
            <wp:cNvGraphicFramePr/>
            <a:graphic xmlns:a="http://schemas.openxmlformats.org/drawingml/2006/main">
              <a:graphicData uri="http://schemas.openxmlformats.org/drawingml/2006/picture">
                <pic:pic xmlns:pic="http://schemas.openxmlformats.org/drawingml/2006/picture">
                  <pic:nvPicPr>
                    <pic:cNvPr id="1" name="image1.png" descr="Points scored"/>
                    <pic:cNvPicPr preferRelativeResize="0"/>
                  </pic:nvPicPr>
                  <pic:blipFill>
                    <a:blip r:embed="rId6"/>
                    <a:srcRect/>
                    <a:stretch>
                      <a:fillRect/>
                    </a:stretch>
                  </pic:blipFill>
                  <pic:spPr>
                    <a:xfrm>
                      <a:off x="0" y="0"/>
                      <a:ext cx="11430000" cy="7073900"/>
                    </a:xfrm>
                    <a:prstGeom prst="rect">
                      <a:avLst/>
                    </a:prstGeom>
                  </pic:spPr>
                </pic:pic>
              </a:graphicData>
            </a:graphic>
          </wp:inline>
        </w:drawing>
      </w:r>
      <w:bookmarkEnd w:id="7"/>
    </w:p>
    <w:p>
      <w:pPr>
        <w:pStyle w:val="2"/>
      </w:pPr>
      <w:bookmarkStart w:id="4" w:name="_nempyivkfcc2" w:colFirst="0" w:colLast="0"/>
      <w:bookmarkEnd w:id="4"/>
      <w:r>
        <w:rPr>
          <w:rtl w:val="0"/>
        </w:rPr>
        <w:t>Chemistry Panel Results</w:t>
      </w:r>
    </w:p>
    <w:p>
      <w:r>
        <w:rPr>
          <w:rtl w:val="0"/>
        </w:rPr>
        <w:t>The chemistry panel assesses various substances in the blood to provide information about organ function and metabolic status.</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tbl>
      <w:tblPr>
        <w:tblStyle w:val="14"/>
        <w:tblW w:w="17500" w:type="dxa"/>
        <w:tblInd w:w="0" w:type="dxa"/>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Layout w:type="fixed"/>
        <w:tblCellMar>
          <w:top w:w="100" w:type="dxa"/>
          <w:left w:w="100" w:type="dxa"/>
          <w:bottom w:w="100" w:type="dxa"/>
          <w:right w:w="100" w:type="dxa"/>
        </w:tblCellMar>
      </w:tblPr>
      <w:tblGrid>
        <w:gridCol w:w="3500"/>
        <w:gridCol w:w="3500"/>
        <w:gridCol w:w="3500"/>
        <w:gridCol w:w="3500"/>
        <w:gridCol w:w="3500"/>
      </w:tblGrid>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708" w:hRule="atLeast"/>
          <w:tblHeader/>
        </w:trPr>
        <w:tc>
          <w:p>
            <w:r>
              <w:rPr>
                <w:rtl w:val="0"/>
              </w:rPr>
              <w:t>Test Name</w:t>
            </w:r>
          </w:p>
        </w:tc>
        <w:tc>
          <w:p>
            <w:r>
              <w:rPr>
                <w:rtl w:val="0"/>
              </w:rPr>
              <w:t>Result</w:t>
            </w:r>
          </w:p>
        </w:tc>
        <w:tc>
          <w:p>
            <w:r>
              <w:rPr>
                <w:rtl w:val="0"/>
              </w:rPr>
              <w:t>Reference Range</w:t>
            </w:r>
          </w:p>
        </w:tc>
        <w:tc>
          <w:p>
            <w:r>
              <w:rPr>
                <w:rtl w:val="0"/>
              </w:rPr>
              <w:t>Unit</w:t>
            </w:r>
          </w:p>
        </w:tc>
        <w:tc>
          <w:p>
            <w:r>
              <w:rPr>
                <w:rtl w:val="0"/>
              </w:rPr>
              <w:t>Interpretation</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Glucose (Fasting)</w:t>
            </w:r>
          </w:p>
        </w:tc>
        <w:tc>
          <w:p>
            <w:r>
              <w:rPr>
                <w:rtl w:val="0"/>
              </w:rPr>
              <w:t>95</w:t>
            </w:r>
          </w:p>
        </w:tc>
        <w:tc>
          <w:p>
            <w:r>
              <w:rPr>
                <w:rtl w:val="0"/>
              </w:rPr>
              <w:t>70 - 99</w:t>
            </w:r>
          </w:p>
        </w:tc>
        <w:tc>
          <w:p>
            <w:r>
              <w:rPr>
                <w:rtl w:val="0"/>
              </w:rPr>
              <w:t>mg/dL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Blood Urea Nitrogen (BUN)</w:t>
            </w:r>
          </w:p>
        </w:tc>
        <w:tc>
          <w:p>
            <w:r>
              <w:rPr>
                <w:rtl w:val="0"/>
              </w:rPr>
              <w:t>15</w:t>
            </w:r>
          </w:p>
        </w:tc>
        <w:tc>
          <w:p>
            <w:r>
              <w:rPr>
                <w:rtl w:val="0"/>
              </w:rPr>
              <w:t>7 - 20</w:t>
            </w:r>
          </w:p>
        </w:tc>
        <w:tc>
          <w:p>
            <w:r>
              <w:rPr>
                <w:rtl w:val="0"/>
              </w:rPr>
              <w:t>mg/dL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Creatinine</w:t>
            </w:r>
          </w:p>
        </w:tc>
        <w:tc>
          <w:p>
            <w:r>
              <w:rPr>
                <w:rtl w:val="0"/>
              </w:rPr>
              <w:t>0.9</w:t>
            </w:r>
          </w:p>
        </w:tc>
        <w:tc>
          <w:p>
            <w:r>
              <w:rPr>
                <w:rtl w:val="0"/>
              </w:rPr>
              <w:t>0.6 - 1.2</w:t>
            </w:r>
          </w:p>
        </w:tc>
        <w:tc>
          <w:p>
            <w:r>
              <w:rPr>
                <w:rtl w:val="0"/>
              </w:rPr>
              <w:t>mg/dL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Sodium</w:t>
            </w:r>
          </w:p>
        </w:tc>
        <w:tc>
          <w:p>
            <w:r>
              <w:rPr>
                <w:rtl w:val="0"/>
              </w:rPr>
              <w:t>140</w:t>
            </w:r>
          </w:p>
        </w:tc>
        <w:tc>
          <w:p>
            <w:r>
              <w:rPr>
                <w:rtl w:val="0"/>
              </w:rPr>
              <w:t>135 - 145</w:t>
            </w:r>
          </w:p>
        </w:tc>
        <w:tc>
          <w:p>
            <w:r>
              <w:rPr>
                <w:rtl w:val="0"/>
              </w:rPr>
              <w:t>mmol/L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Potassium</w:t>
            </w:r>
          </w:p>
        </w:tc>
        <w:tc>
          <w:p>
            <w:r>
              <w:rPr>
                <w:rtl w:val="0"/>
              </w:rPr>
              <w:t>4.2</w:t>
            </w:r>
          </w:p>
        </w:tc>
        <w:tc>
          <w:p>
            <w:r>
              <w:rPr>
                <w:rtl w:val="0"/>
              </w:rPr>
              <w:t>3.5 - 5.0</w:t>
            </w:r>
          </w:p>
        </w:tc>
        <w:tc>
          <w:p>
            <w:r>
              <w:rPr>
                <w:rtl w:val="0"/>
              </w:rPr>
              <w:t>mmol/L</w:t>
            </w:r>
          </w:p>
        </w:tc>
        <w:tc>
          <w:p>
            <w:r>
              <w:rPr>
                <w:rtl w:val="0"/>
              </w:rPr>
              <w:t>Normal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Total Cholesterol</w:t>
            </w:r>
          </w:p>
        </w:tc>
        <w:tc>
          <w:p>
            <w:r>
              <w:rPr>
                <w:rtl w:val="0"/>
              </w:rPr>
              <w:t>180</w:t>
            </w:r>
          </w:p>
        </w:tc>
        <w:tc>
          <w:p>
            <w:r>
              <w:rPr>
                <w:rtl w:val="0"/>
              </w:rPr>
              <w:t>&lt; 200</w:t>
            </w:r>
          </w:p>
        </w:tc>
        <w:tc>
          <w:p>
            <w:r>
              <w:rPr>
                <w:rtl w:val="0"/>
              </w:rPr>
              <w:t>mg/dL</w:t>
            </w:r>
          </w:p>
        </w:tc>
        <w:tc>
          <w:p>
            <w:r>
              <w:rPr>
                <w:rtl w:val="0"/>
              </w:rPr>
              <w:t>Optimal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LDL Cholesterol</w:t>
            </w:r>
          </w:p>
        </w:tc>
        <w:tc>
          <w:p>
            <w:r>
              <w:rPr>
                <w:rtl w:val="0"/>
              </w:rPr>
              <w:t>100</w:t>
            </w:r>
          </w:p>
        </w:tc>
        <w:tc>
          <w:p>
            <w:r>
              <w:rPr>
                <w:rtl w:val="0"/>
              </w:rPr>
              <w:t>&lt; 100</w:t>
            </w:r>
          </w:p>
        </w:tc>
        <w:tc>
          <w:p>
            <w:r>
              <w:rPr>
                <w:rtl w:val="0"/>
              </w:rPr>
              <w:t>mg/dL</w:t>
            </w:r>
          </w:p>
        </w:tc>
        <w:tc>
          <w:p>
            <w:r>
              <w:rPr>
                <w:rtl w:val="0"/>
              </w:rPr>
              <w:t>Optimal</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HDL Cholesterol</w:t>
            </w:r>
          </w:p>
        </w:tc>
        <w:tc>
          <w:p>
            <w:r>
              <w:rPr>
                <w:rtl w:val="0"/>
              </w:rPr>
              <w:t>55</w:t>
            </w:r>
          </w:p>
        </w:tc>
        <w:tc>
          <w:p>
            <w:r>
              <w:rPr>
                <w:rtl w:val="0"/>
              </w:rPr>
              <w:t>&gt; 40</w:t>
            </w:r>
          </w:p>
        </w:tc>
        <w:tc>
          <w:p>
            <w:r>
              <w:rPr>
                <w:rtl w:val="0"/>
              </w:rPr>
              <w:t>mg/dL</w:t>
            </w:r>
          </w:p>
        </w:tc>
        <w:tc>
          <w:p>
            <w:r>
              <w:rPr>
                <w:rtl w:val="0"/>
              </w:rPr>
              <w:t>Good</w:t>
            </w:r>
          </w:p>
        </w:tc>
      </w:tr>
      <w:tr>
        <w:tblPrEx>
          <w:tblBorders>
            <w:top w:val="single" w:color="747775" w:sz="8" w:space="0"/>
            <w:left w:val="none" w:color="000000" w:sz="0" w:space="0"/>
            <w:bottom w:val="single" w:color="747775" w:sz="8" w:space="0"/>
            <w:right w:val="none" w:color="000000" w:sz="0" w:space="0"/>
            <w:insideH w:val="single" w:color="747775" w:sz="8" w:space="0"/>
            <w:insideV w:val="none" w:color="000000" w:sz="0" w:space="0"/>
          </w:tblBorders>
          <w:tblCellMar>
            <w:top w:w="100" w:type="dxa"/>
            <w:left w:w="100" w:type="dxa"/>
            <w:bottom w:w="100" w:type="dxa"/>
            <w:right w:w="100" w:type="dxa"/>
          </w:tblCellMar>
        </w:tblPrEx>
        <w:trPr>
          <w:trHeight w:val="564" w:hRule="atLeast"/>
        </w:trPr>
        <w:tc>
          <w:p>
            <w:r>
              <w:rPr>
                <w:rtl w:val="0"/>
              </w:rPr>
              <w:t>Triglycerides</w:t>
            </w:r>
          </w:p>
        </w:tc>
        <w:tc>
          <w:p>
            <w:r>
              <w:rPr>
                <w:rtl w:val="0"/>
              </w:rPr>
              <w:t>120</w:t>
            </w:r>
          </w:p>
        </w:tc>
        <w:tc>
          <w:p>
            <w:r>
              <w:rPr>
                <w:rtl w:val="0"/>
              </w:rPr>
              <w:t>&lt; 150</w:t>
            </w:r>
          </w:p>
        </w:tc>
        <w:tc>
          <w:p>
            <w:r>
              <w:rPr>
                <w:rtl w:val="0"/>
              </w:rPr>
              <w:t>mg/dL</w:t>
            </w:r>
          </w:p>
        </w:tc>
        <w:tc>
          <w:p>
            <w:r>
              <w:rPr>
                <w:rtl w:val="0"/>
              </w:rPr>
              <w:t>Normal</w:t>
            </w: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p>
      <w:r>
        <w:rPr>
          <w:rtl w:val="0"/>
        </w:rPr>
        <w:t>[A line graph showing the trend of glucose levels over time, if multiple readings were available. Otherwise, a pie chart showing the distribution of different cholesterol types.]</w:t>
      </w:r>
    </w:p>
    <w:p>
      <w:pPr>
        <w:pStyle w:val="2"/>
      </w:pPr>
      <w:bookmarkStart w:id="5" w:name="_slid7lb9jro0" w:colFirst="0" w:colLast="0"/>
      <w:bookmarkEnd w:id="5"/>
      <w:r>
        <w:rPr>
          <w:rtl w:val="0"/>
        </w:rPr>
        <w:t>Urinalysis Results</w:t>
      </w:r>
    </w:p>
    <w:p>
      <w:r>
        <w:rPr>
          <w:rtl w:val="0"/>
        </w:rPr>
        <w:t>A microscopic and chemical examination of the urine sample.</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Color:</w:t>
      </w:r>
      <w:r>
        <w:rPr>
          <w:rtl w:val="0"/>
        </w:rPr>
        <w:t xml:space="preserve"> Yellow</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Clarity:</w:t>
      </w:r>
      <w:r>
        <w:rPr>
          <w:rtl w:val="0"/>
        </w:rPr>
        <w:t xml:space="preserve"> Clear</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Specific Gravity:</w:t>
      </w:r>
      <w:r>
        <w:rPr>
          <w:rtl w:val="0"/>
        </w:rPr>
        <w:t xml:space="preserve"> 1.015</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pH:</w:t>
      </w:r>
      <w:r>
        <w:rPr>
          <w:rtl w:val="0"/>
        </w:rPr>
        <w:t xml:space="preserve"> 6.0</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Protein:</w:t>
      </w:r>
      <w:r>
        <w:rPr>
          <w:rtl w:val="0"/>
        </w:rPr>
        <w:t xml:space="preserve"> Negative</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Glucose:</w:t>
      </w:r>
      <w:r>
        <w:rPr>
          <w:rtl w:val="0"/>
        </w:rPr>
        <w:t xml:space="preserve"> Negative</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Ketones:</w:t>
      </w:r>
      <w:r>
        <w:rPr>
          <w:rtl w:val="0"/>
        </w:rPr>
        <w:t xml:space="preserve"> Negative</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Blood:</w:t>
      </w:r>
      <w:r>
        <w:rPr>
          <w:rtl w:val="0"/>
        </w:rPr>
        <w:t xml:space="preserve"> Negative</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Nitrite:</w:t>
      </w:r>
      <w:r>
        <w:rPr>
          <w:rtl w:val="0"/>
        </w:rPr>
        <w:t xml:space="preserve"> Negative</w:t>
      </w:r>
    </w:p>
    <w:p>
      <w:pPr>
        <w:numPr>
          <w:ilvl w:val="0"/>
          <w:numId w:val="1"/>
        </w:numPr>
        <w:ind w:left="720" w:hanging="360"/>
        <w:rPr>
          <w:rFonts w:ascii="Arial" w:hAnsi="Arial" w:eastAsia="Arial" w:cs="Arial"/>
          <w:b w:val="0"/>
          <w:i w:val="0"/>
          <w:smallCaps w:val="0"/>
          <w:strike w:val="0"/>
          <w:color w:val="000000"/>
          <w:sz w:val="22"/>
          <w:szCs w:val="22"/>
          <w:u w:val="none"/>
          <w:shd w:val="clear" w:fill="auto"/>
          <w:vertAlign w:val="baseline"/>
        </w:rPr>
      </w:pPr>
      <w:r>
        <w:rPr>
          <w:b/>
          <w:rtl w:val="0"/>
        </w:rPr>
        <w:t>Leukocyte Esterase:</w:t>
      </w:r>
      <w:r>
        <w:rPr>
          <w:rtl w:val="0"/>
        </w:rPr>
        <w:t xml:space="preserve"> Negative</w:t>
      </w:r>
    </w:p>
    <w:p>
      <w:pPr>
        <w:pStyle w:val="2"/>
      </w:pPr>
      <w:bookmarkStart w:id="6" w:name="_nw4fnhykirlh" w:colFirst="0" w:colLast="0"/>
      <w:bookmarkEnd w:id="6"/>
      <w:r>
        <w:rPr>
          <w:rtl w:val="0"/>
        </w:rPr>
        <w:t>Conclusion and Recommendations</w:t>
      </w:r>
    </w:p>
    <w:p>
      <w:r>
        <w:rPr>
          <w:rtl w:val="0"/>
        </w:rPr>
        <w:t>All tested parameters are within normal reference ranges, indicating good general health at the time of testing. No significant abnormalities were detected in this routine panel.</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p>
      <w:r>
        <w:rPr>
          <w:rtl w:val="0"/>
        </w:rPr>
        <w:t>It is recommended to continue regular check-ups as advised by your physician. This report should be interpreted in conjunction with the patient's clinical history and other relevant diagnostic findings. If you have any questions, please consult with your referring physician.</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fill="auto"/>
        <w:spacing w:before="0" w:after="0" w:line="276" w:lineRule="auto"/>
        <w:ind w:left="0" w:right="0" w:firstLine="0"/>
        <w:jc w:val="left"/>
      </w:pPr>
    </w:p>
    <w:p>
      <w:pPr>
        <w:rPr>
          <w:rFonts w:ascii="Arial" w:hAnsi="Arial" w:eastAsia="Arial" w:cs="Arial"/>
          <w:color w:val="000000"/>
          <w:sz w:val="22"/>
          <w:szCs w:val="22"/>
        </w:rPr>
      </w:pPr>
      <w:r>
        <w:rPr>
          <w:rtl w:val="0"/>
        </w:rPr>
        <w:t>Further information regarding these tests can be found in the accompanying File.</w:t>
      </w:r>
    </w:p>
    <w:sectPr>
      <w:pgSz w:w="12240" w:h="15840"/>
      <w:pgMar w:top="1440" w:right="1440" w:bottom="1440" w:left="1440" w:header="720" w:footer="720"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Droid Sans Fallback">
    <w:panose1 w:val="020B0502000000000001"/>
    <w:charset w:val="86"/>
    <w:family w:val="auto"/>
    <w:pitch w:val="default"/>
    <w:sig w:usb0="910002FF" w:usb1="2BDFFCFB" w:usb2="00000036" w:usb3="00000000" w:csb0="203F01FF" w:csb1="D7FF0000"/>
  </w:font>
  <w:font w:name="Arial">
    <w:altName w:val="DejaVu Sans"/>
    <w:panose1 w:val="020B0604020202020204"/>
    <w:charset w:val="00"/>
    <w:family w:val="swiss"/>
    <w:pitch w:val="default"/>
    <w:sig w:usb0="20007A87" w:usb1="80000000" w:usb2="00000008" w:usb3="00000000" w:csb0="000001FF" w:csb1="0000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Wingdings">
    <w:altName w:val="C059"/>
    <w:panose1 w:val="05000000000000000000"/>
    <w:charset w:val="00"/>
    <w:family w:val="auto"/>
    <w:pitch w:val="default"/>
    <w:sig w:usb0="00000000" w:usb1="10000000" w:usb2="00000000" w:usb3="00000000" w:csb0="80000000" w:csb1="00000000"/>
  </w:font>
  <w:font w:name="C059">
    <w:panose1 w:val="00000500000000000000"/>
    <w:charset w:val="00"/>
    <w:family w:val="auto"/>
    <w:pitch w:val="default"/>
    <w:sig w:usb0="00000287" w:usb1="00000800" w:usb2="00000000" w:usb3="00000000" w:csb0="6000009F" w:csb1="00000000"/>
  </w:font>
  <w:font w:name="Calibri">
    <w:altName w:val="DejaVu Sans"/>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Inter">
    <w:altName w:val="C059"/>
    <w:panose1 w:val="00000000000000000000"/>
    <w:charset w:val="86"/>
    <w:family w:val="auto"/>
    <w:pitch w:val="default"/>
    <w:sig w:usb0="00000000" w:usb1="00000000" w:usb2="00000000" w:usb3="00000000" w:csb0="00000000" w:csb1="00000000"/>
  </w:font>
  <w:font w:name="Inter Medium">
    <w:altName w:val="C059"/>
    <w:panose1 w:val="00000000000000000000"/>
    <w:charset w:val="00"/>
    <w:family w:val="auto"/>
    <w:pitch w:val="default"/>
    <w:sig w:usb0="00000000" w:usb1="00000000" w:usb2="00000000" w:usb3="00000000" w:csb0="00000000" w:csb1="00000000"/>
  </w:font>
  <w:font w:name="Inter SemiBold">
    <w:altName w:val="C059"/>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38E5C2"/>
    <w:multiLevelType w:val="multilevel"/>
    <w:tmpl w:val="F238E5C2"/>
    <w:lvl w:ilvl="0" w:tentative="0">
      <w:start w:val="1"/>
      <w:numFmt w:val="bullet"/>
      <w:lvlText w:val="●"/>
      <w:lvlJc w:val="left"/>
      <w:pPr>
        <w:ind w:left="720" w:hanging="360"/>
      </w:pPr>
      <w:rPr>
        <w:u w:val="none"/>
      </w:rPr>
    </w:lvl>
    <w:lvl w:ilvl="1" w:tentative="0">
      <w:start w:val="1"/>
      <w:numFmt w:val="bullet"/>
      <w:lvlText w:val="○"/>
      <w:lvlJc w:val="left"/>
      <w:pPr>
        <w:ind w:left="1440" w:hanging="360"/>
      </w:pPr>
      <w:rPr>
        <w:u w:val="none"/>
      </w:rPr>
    </w:lvl>
    <w:lvl w:ilvl="2" w:tentative="0">
      <w:start w:val="1"/>
      <w:numFmt w:val="bullet"/>
      <w:lvlText w:val="■"/>
      <w:lvlJc w:val="left"/>
      <w:pPr>
        <w:ind w:left="2160" w:hanging="360"/>
      </w:pPr>
      <w:rPr>
        <w:u w:val="none"/>
      </w:rPr>
    </w:lvl>
    <w:lvl w:ilvl="3" w:tentative="0">
      <w:start w:val="1"/>
      <w:numFmt w:val="bullet"/>
      <w:lvlText w:val="●"/>
      <w:lvlJc w:val="left"/>
      <w:pPr>
        <w:ind w:left="2880" w:hanging="360"/>
      </w:pPr>
      <w:rPr>
        <w:u w:val="none"/>
      </w:rPr>
    </w:lvl>
    <w:lvl w:ilvl="4" w:tentative="0">
      <w:start w:val="1"/>
      <w:numFmt w:val="bullet"/>
      <w:lvlText w:val="○"/>
      <w:lvlJc w:val="left"/>
      <w:pPr>
        <w:ind w:left="3600" w:hanging="360"/>
      </w:pPr>
      <w:rPr>
        <w:u w:val="none"/>
      </w:rPr>
    </w:lvl>
    <w:lvl w:ilvl="5" w:tentative="0">
      <w:start w:val="1"/>
      <w:numFmt w:val="bullet"/>
      <w:lvlText w:val="■"/>
      <w:lvlJc w:val="left"/>
      <w:pPr>
        <w:ind w:left="4320" w:hanging="360"/>
      </w:pPr>
      <w:rPr>
        <w:u w:val="none"/>
      </w:rPr>
    </w:lvl>
    <w:lvl w:ilvl="6" w:tentative="0">
      <w:start w:val="1"/>
      <w:numFmt w:val="bullet"/>
      <w:lvlText w:val="●"/>
      <w:lvlJc w:val="left"/>
      <w:pPr>
        <w:ind w:left="5040" w:hanging="360"/>
      </w:pPr>
      <w:rPr>
        <w:u w:val="none"/>
      </w:rPr>
    </w:lvl>
    <w:lvl w:ilvl="7" w:tentative="0">
      <w:start w:val="1"/>
      <w:numFmt w:val="bullet"/>
      <w:lvlText w:val="○"/>
      <w:lvlJc w:val="left"/>
      <w:pPr>
        <w:ind w:left="5760" w:hanging="360"/>
      </w:pPr>
      <w:rPr>
        <w:u w:val="none"/>
      </w:rPr>
    </w:lvl>
    <w:lvl w:ilvl="8" w:tentative="0">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footnotePr>
    <w:footnote w:id="0"/>
    <w:footnote w:id="1"/>
  </w:footnotePr>
  <w:endnotePr>
    <w:endnote w:id="0"/>
    <w:endnote w:id="1"/>
  </w:endnotePr>
  <w:compat>
    <w:compatSetting w:name="compatibilityMode" w:uri="http://schemas.microsoft.com/office/word" w:val="15"/>
  </w:compat>
  <w:rsids>
    <w:rsidRoot w:val="00000000"/>
    <w:rsid w:val="AEFD22A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Inter" w:hAnsi="Inter" w:eastAsia="Inter" w:cs="Inter"/>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Inter" w:hAnsi="Inter" w:eastAsia="Inter" w:cs="Inter"/>
      <w:color w:val="1F1F1F"/>
      <w:sz w:val="24"/>
      <w:szCs w:val="24"/>
      <w:lang w:val="en"/>
    </w:rPr>
  </w:style>
  <w:style w:type="paragraph" w:styleId="2">
    <w:name w:val="heading 1"/>
    <w:basedOn w:val="1"/>
    <w:next w:val="1"/>
    <w:qFormat/>
    <w:uiPriority w:val="0"/>
    <w:pPr>
      <w:keepNext/>
      <w:keepLines/>
      <w:pageBreakBefore w:val="0"/>
      <w:spacing w:before="400" w:after="120"/>
    </w:pPr>
    <w:rPr>
      <w:rFonts w:ascii="Inter Medium" w:hAnsi="Inter Medium" w:eastAsia="Inter Medium" w:cs="Inter Medium"/>
      <w:sz w:val="40"/>
      <w:szCs w:val="40"/>
    </w:rPr>
  </w:style>
  <w:style w:type="paragraph" w:styleId="3">
    <w:name w:val="heading 2"/>
    <w:basedOn w:val="1"/>
    <w:next w:val="1"/>
    <w:qFormat/>
    <w:uiPriority w:val="0"/>
    <w:pPr>
      <w:keepNext/>
      <w:keepLines/>
      <w:pageBreakBefore w:val="0"/>
      <w:spacing w:before="360" w:after="120"/>
    </w:pPr>
    <w:rPr>
      <w:rFonts w:ascii="Inter Medium" w:hAnsi="Inter Medium" w:eastAsia="Inter Medium" w:cs="Inter Medium"/>
      <w:sz w:val="32"/>
      <w:szCs w:val="32"/>
    </w:rPr>
  </w:style>
  <w:style w:type="paragraph" w:styleId="4">
    <w:name w:val="heading 3"/>
    <w:basedOn w:val="1"/>
    <w:next w:val="1"/>
    <w:qFormat/>
    <w:uiPriority w:val="0"/>
    <w:pPr>
      <w:keepNext/>
      <w:keepLines/>
      <w:pageBreakBefore w:val="0"/>
      <w:spacing w:before="320" w:after="80"/>
    </w:pPr>
    <w:rPr>
      <w:rFonts w:ascii="Inter Medium" w:hAnsi="Inter Medium" w:eastAsia="Inter Medium" w:cs="Inter Medium"/>
      <w:sz w:val="28"/>
      <w:szCs w:val="28"/>
    </w:rPr>
  </w:style>
  <w:style w:type="paragraph" w:styleId="5">
    <w:name w:val="heading 4"/>
    <w:basedOn w:val="1"/>
    <w:next w:val="1"/>
    <w:qFormat/>
    <w:uiPriority w:val="0"/>
    <w:pPr>
      <w:keepNext/>
      <w:keepLines/>
      <w:pageBreakBefore w:val="0"/>
      <w:spacing w:before="280" w:after="80"/>
    </w:pPr>
    <w:rPr>
      <w:rFonts w:ascii="Inter Medium" w:hAnsi="Inter Medium" w:eastAsia="Inter Medium" w:cs="Inter Medium"/>
      <w:sz w:val="24"/>
      <w:szCs w:val="24"/>
    </w:rPr>
  </w:style>
  <w:style w:type="paragraph" w:styleId="6">
    <w:name w:val="heading 5"/>
    <w:basedOn w:val="1"/>
    <w:next w:val="1"/>
    <w:qFormat/>
    <w:uiPriority w:val="0"/>
    <w:pPr>
      <w:keepNext/>
      <w:keepLines/>
      <w:pageBreakBefore w:val="0"/>
      <w:spacing w:before="240" w:after="80"/>
    </w:pPr>
    <w:rPr>
      <w:rFonts w:ascii="Inter SemiBold" w:hAnsi="Inter SemiBold" w:eastAsia="Inter SemiBold" w:cs="Inter SemiBold"/>
      <w:i/>
      <w:sz w:val="24"/>
      <w:szCs w:val="24"/>
    </w:rPr>
  </w:style>
  <w:style w:type="paragraph" w:styleId="7">
    <w:name w:val="heading 6"/>
    <w:basedOn w:val="1"/>
    <w:next w:val="1"/>
    <w:qFormat/>
    <w:uiPriority w:val="0"/>
    <w:pPr>
      <w:keepNext/>
      <w:keepLines/>
      <w:pageBreakBefore w:val="0"/>
      <w:spacing w:before="240" w:after="80"/>
    </w:pPr>
    <w:rPr>
      <w:rFonts w:ascii="Inter" w:hAnsi="Inter" w:eastAsia="Inter" w:cs="Inter"/>
      <w:i/>
      <w:sz w:val="24"/>
      <w:szCs w:val="24"/>
    </w:rPr>
  </w:style>
  <w:style w:type="character" w:default="1" w:styleId="8">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Subtitle"/>
    <w:basedOn w:val="1"/>
    <w:next w:val="1"/>
    <w:qFormat/>
    <w:uiPriority w:val="0"/>
    <w:pPr>
      <w:keepNext/>
      <w:keepLines/>
      <w:pageBreakBefore w:val="0"/>
      <w:spacing w:before="0" w:after="320"/>
    </w:pPr>
    <w:rPr>
      <w:rFonts w:ascii="Inter" w:hAnsi="Inter" w:eastAsia="Inter" w:cs="Inter"/>
      <w:sz w:val="30"/>
      <w:szCs w:val="30"/>
    </w:rPr>
  </w:style>
  <w:style w:type="paragraph" w:styleId="11">
    <w:name w:val="Title"/>
    <w:basedOn w:val="1"/>
    <w:next w:val="1"/>
    <w:qFormat/>
    <w:uiPriority w:val="0"/>
    <w:pPr>
      <w:keepNext/>
      <w:keepLines/>
      <w:pageBreakBefore w:val="0"/>
      <w:spacing w:before="0" w:after="60"/>
    </w:pPr>
    <w:rPr>
      <w:rFonts w:ascii="Inter Medium" w:hAnsi="Inter Medium" w:eastAsia="Inter Medium" w:cs="Inter Medium"/>
      <w:sz w:val="52"/>
      <w:szCs w:val="52"/>
    </w:rPr>
  </w:style>
  <w:style w:type="table" w:customStyle="1" w:styleId="12">
    <w:name w:val="TableNormal"/>
    <w:qFormat/>
    <w:uiPriority w:val="0"/>
  </w:style>
  <w:style w:type="table" w:customStyle="1" w:styleId="13">
    <w:name w:val="_Style 10"/>
    <w:basedOn w:val="12"/>
    <w:qFormat/>
    <w:uiPriority w:val="0"/>
    <w:tblPr>
      <w:tblCellMar>
        <w:top w:w="100" w:type="dxa"/>
        <w:left w:w="100" w:type="dxa"/>
        <w:bottom w:w="100" w:type="dxa"/>
        <w:right w:w="100" w:type="dxa"/>
      </w:tblCellMar>
    </w:tblPr>
    <w:tblStylePr w:type="firstRow">
      <w:rPr>
        <w:rFonts w:ascii="Inter Medium" w:hAnsi="Inter Medium" w:eastAsia="Inter Medium" w:cs="Inter Medium"/>
        <w:b w:val="0"/>
        <w:i w:val="0"/>
        <w:smallCaps w:val="0"/>
        <w:strike w:val="0"/>
        <w:color w:val="1F1F1F"/>
        <w:sz w:val="24"/>
        <w:szCs w:val="24"/>
        <w:u w:val="none"/>
        <w:shd w:val="clear" w:fill="auto"/>
        <w:vertAlign w:val="baseline"/>
      </w:rPr>
      <w:tcPr>
        <w:tcBorders>
          <w:top w:val="nil"/>
        </w:tcBorders>
        <w:shd w:val="clear" w:color="auto" w:fill="F2F2EF"/>
        <w:vAlign w:val="center"/>
      </w:tcPr>
    </w:tblStylePr>
  </w:style>
  <w:style w:type="table" w:customStyle="1" w:styleId="14">
    <w:name w:val="_Style 11"/>
    <w:basedOn w:val="12"/>
    <w:qFormat/>
    <w:uiPriority w:val="0"/>
    <w:tblPr>
      <w:tblCellMar>
        <w:top w:w="100" w:type="dxa"/>
        <w:left w:w="100" w:type="dxa"/>
        <w:bottom w:w="100" w:type="dxa"/>
        <w:right w:w="100" w:type="dxa"/>
      </w:tblCellMar>
    </w:tblPr>
    <w:tblStylePr w:type="firstRow">
      <w:rPr>
        <w:rFonts w:ascii="Inter Medium" w:hAnsi="Inter Medium" w:eastAsia="Inter Medium" w:cs="Inter Medium"/>
        <w:b w:val="0"/>
        <w:i w:val="0"/>
        <w:smallCaps w:val="0"/>
        <w:strike w:val="0"/>
        <w:color w:val="1F1F1F"/>
        <w:sz w:val="24"/>
        <w:szCs w:val="24"/>
        <w:u w:val="none"/>
        <w:shd w:val="clear" w:fill="auto"/>
        <w:vertAlign w:val="baseline"/>
      </w:rPr>
      <w:tcPr>
        <w:tcBorders>
          <w:top w:val="nil"/>
        </w:tcBorders>
        <w:shd w:val="clear" w:color="auto" w:fill="F2F2EF"/>
        <w:vAlign w:val="center"/>
      </w:tcPr>
    </w:tblStyle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Office_11.1.0.11723_F1E327BC-269C-435d-A152-05C5408002CA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2025-07-11T12:18:58Z</dcterms:created>
  <dc:creator>akhileshm</dc:creator>
  <cp:lastModifiedBy>akhileshm</cp:lastModifiedBy>
  <dcterms:modified xsi:type="dcterms:W3CDTF">2025-07-11T12:20:26Z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1033-11.1.0.11723</vt:lpwstr>
  </property>
</Properties>
</file>