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HR Guide: Policies and Procedures</w:t>
      </w:r>
    </w:p>
    <w:p>
      <w:r>
        <w:t>This guide summarizes key HR policies, including leave management, training, and compliance. Tables are used to present compact summaries, and a small chart indicates completion trends.</w:t>
      </w:r>
    </w:p>
    <w:p>
      <w:pPr>
        <w:pStyle w:val="Heading2"/>
      </w:pPr>
      <w:r>
        <w:t>Policy Summary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Category</w:t>
            </w:r>
          </w:p>
        </w:tc>
        <w:tc>
          <w:tcPr>
            <w:tcW w:type="dxa" w:w="2160"/>
          </w:tcPr>
          <w:p>
            <w:r>
              <w:t>Owner</w:t>
            </w:r>
          </w:p>
        </w:tc>
        <w:tc>
          <w:tcPr>
            <w:tcW w:type="dxa" w:w="2160"/>
          </w:tcPr>
          <w:p>
            <w:r>
              <w:t>Policy</w:t>
            </w:r>
          </w:p>
        </w:tc>
        <w:tc>
          <w:tcPr>
            <w:tcW w:type="dxa" w:w="2160"/>
          </w:tcPr>
          <w:p>
            <w:r>
              <w:t>Status</w:t>
            </w:r>
          </w:p>
        </w:tc>
      </w:tr>
      <w:tr>
        <w:tc>
          <w:tcPr>
            <w:tcW w:type="dxa" w:w="2160"/>
          </w:tcPr>
          <w:p>
            <w:r>
              <w:t>Leave</w:t>
            </w:r>
          </w:p>
        </w:tc>
        <w:tc>
          <w:tcPr>
            <w:tcW w:type="dxa" w:w="2160"/>
          </w:tcPr>
          <w:p>
            <w:r>
              <w:t>HR Ops</w:t>
            </w:r>
          </w:p>
        </w:tc>
        <w:tc>
          <w:tcPr>
            <w:tcW w:type="dxa" w:w="2160"/>
          </w:tcPr>
          <w:p>
            <w:r>
              <w:t>Annual Leave Policy</w:t>
            </w:r>
          </w:p>
        </w:tc>
        <w:tc>
          <w:tcPr>
            <w:tcW w:type="dxa" w:w="2160"/>
          </w:tcPr>
          <w:p>
            <w:r>
              <w:t>Active</w:t>
            </w:r>
          </w:p>
        </w:tc>
      </w:tr>
      <w:tr>
        <w:tc>
          <w:tcPr>
            <w:tcW w:type="dxa" w:w="2160"/>
          </w:tcPr>
          <w:p>
            <w:r>
              <w:t>Training</w:t>
            </w:r>
          </w:p>
        </w:tc>
        <w:tc>
          <w:tcPr>
            <w:tcW w:type="dxa" w:w="2160"/>
          </w:tcPr>
          <w:p>
            <w:r>
              <w:t>L&amp;D</w:t>
            </w:r>
          </w:p>
        </w:tc>
        <w:tc>
          <w:tcPr>
            <w:tcW w:type="dxa" w:w="2160"/>
          </w:tcPr>
          <w:p>
            <w:r>
              <w:t>Onboarding Program</w:t>
            </w:r>
          </w:p>
        </w:tc>
        <w:tc>
          <w:tcPr>
            <w:tcW w:type="dxa" w:w="2160"/>
          </w:tcPr>
          <w:p>
            <w:r>
              <w:t>Active</w:t>
            </w:r>
          </w:p>
        </w:tc>
      </w:tr>
      <w:tr>
        <w:tc>
          <w:tcPr>
            <w:tcW w:type="dxa" w:w="2160"/>
          </w:tcPr>
          <w:p>
            <w:r>
              <w:t>Compliance</w:t>
            </w:r>
          </w:p>
        </w:tc>
        <w:tc>
          <w:tcPr>
            <w:tcW w:type="dxa" w:w="2160"/>
          </w:tcPr>
          <w:p>
            <w:r>
              <w:t>Legal</w:t>
            </w:r>
          </w:p>
        </w:tc>
        <w:tc>
          <w:tcPr>
            <w:tcW w:type="dxa" w:w="2160"/>
          </w:tcPr>
          <w:p>
            <w:r>
              <w:t>Privacy &amp; Data</w:t>
            </w:r>
          </w:p>
        </w:tc>
        <w:tc>
          <w:tcPr>
            <w:tcW w:type="dxa" w:w="2160"/>
          </w:tcPr>
          <w:p>
            <w:r>
              <w:t>Review</w:t>
            </w:r>
          </w:p>
        </w:tc>
      </w:tr>
      <w:tr>
        <w:tc>
          <w:tcPr>
            <w:tcW w:type="dxa" w:w="2160"/>
          </w:tcPr>
          <w:p>
            <w:r>
              <w:t>Security</w:t>
            </w:r>
          </w:p>
        </w:tc>
        <w:tc>
          <w:tcPr>
            <w:tcW w:type="dxa" w:w="2160"/>
          </w:tcPr>
          <w:p>
            <w:r>
              <w:t>CISO</w:t>
            </w:r>
          </w:p>
        </w:tc>
        <w:tc>
          <w:tcPr>
            <w:tcW w:type="dxa" w:w="2160"/>
          </w:tcPr>
          <w:p>
            <w:r>
              <w:t>Security Awareness</w:t>
            </w:r>
          </w:p>
        </w:tc>
        <w:tc>
          <w:tcPr>
            <w:tcW w:type="dxa" w:w="2160"/>
          </w:tcPr>
          <w:p>
            <w:r>
              <w:t>Active</w:t>
            </w:r>
          </w:p>
        </w:tc>
      </w:tr>
    </w:tbl>
    <w:p>
      <w:r>
        <w:t>*Note:* Policies are reviewed quarterly.</w:t>
      </w:r>
    </w:p>
    <w:p>
      <w:pPr>
        <w:pStyle w:val="Heading2"/>
      </w:pPr>
      <w:r>
        <w:t>Training Completion Trend</w:t>
      </w:r>
    </w:p>
    <w:p>
      <w:r>
        <w:t>Recent completion rates for mandatory modules:</w:t>
      </w:r>
    </w:p>
    <w:p>
      <w:r>
        <w:drawing>
          <wp:inline xmlns:a="http://schemas.openxmlformats.org/drawingml/2006/main" xmlns:pic="http://schemas.openxmlformats.org/drawingml/2006/picture">
            <wp:extent cx="4114800" cy="2743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r_guide_inline_chart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743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2"/>
      </w:pPr>
      <w:r>
        <w:t>Notes</w:t>
      </w:r>
    </w:p>
    <w:p>
      <w:r>
        <w:t>Please refer to the HR portal for detailed procedures and forms. If values in the narrative refer to tabulated data, ensure the table appears before the reference.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