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1" w:name="mbs-carry-model"/>
    <w:p>
      <w:pPr>
        <w:pStyle w:val="Heading1"/>
      </w:pPr>
      <w:r>
        <w:t xml:space="preserve">MBS Carry Model</w:t>
      </w:r>
    </w:p>
    <w:bookmarkStart w:id="20" w:name="X81609995fcd5add9f9f187ffa730b061209a93d"/>
    <w:p>
      <w:pPr>
        <w:pStyle w:val="Heading2"/>
      </w:pPr>
      <w:r>
        <w:t xml:space="preserve">Accounting for Funding Costs in TBA vs. Pools</w:t>
      </w:r>
    </w:p>
    <w:p>
      <w:pPr>
        <w:numPr>
          <w:ilvl w:val="0"/>
          <w:numId w:val="1001"/>
        </w:numPr>
      </w:pPr>
      <w:r>
        <w:rPr>
          <w:b/>
          <w:bCs/>
        </w:rPr>
        <w:t xml:space="preserve">TBA Market Characteristics</w:t>
      </w:r>
      <w:r>
        <w:t xml:space="preserve">:</w:t>
      </w:r>
    </w:p>
    <w:p>
      <w:pPr>
        <w:pStyle w:val="Compact"/>
        <w:numPr>
          <w:ilvl w:val="1"/>
          <w:numId w:val="1002"/>
        </w:numPr>
      </w:pPr>
      <w:r>
        <w:t xml:space="preserve">Greater liquidity but introduces cheapest-to-deliver risk.</w:t>
      </w:r>
    </w:p>
    <w:p>
      <w:pPr>
        <w:pStyle w:val="Compact"/>
        <w:numPr>
          <w:ilvl w:val="1"/>
          <w:numId w:val="1002"/>
        </w:numPr>
      </w:pPr>
      <w:r>
        <w:t xml:space="preserve">Subject to roll dynamics and funding market conditions.</w:t>
      </w:r>
    </w:p>
    <w:p>
      <w:pPr>
        <w:numPr>
          <w:ilvl w:val="0"/>
          <w:numId w:val="1001"/>
        </w:numPr>
      </w:pPr>
      <w:r>
        <w:rPr>
          <w:b/>
          <w:bCs/>
        </w:rPr>
        <w:t xml:space="preserve">Specified Pools</w:t>
      </w:r>
      <w:r>
        <w:t xml:space="preserve">:</w:t>
      </w:r>
    </w:p>
    <w:p>
      <w:pPr>
        <w:pStyle w:val="Compact"/>
        <w:numPr>
          <w:ilvl w:val="1"/>
          <w:numId w:val="1003"/>
        </w:numPr>
      </w:pPr>
      <w:r>
        <w:t xml:space="preserve">Lower liquidity, but offer cash flow precision.</w:t>
      </w:r>
    </w:p>
    <w:p>
      <w:pPr>
        <w:pStyle w:val="Compact"/>
        <w:numPr>
          <w:ilvl w:val="1"/>
          <w:numId w:val="1003"/>
        </w:numPr>
      </w:pPr>
      <w:r>
        <w:t xml:space="preserve">Require adjustments for funding costs and potential roll financing.</w:t>
      </w:r>
    </w:p>
    <w:p>
      <w:pPr>
        <w:numPr>
          <w:ilvl w:val="0"/>
          <w:numId w:val="1001"/>
        </w:numPr>
      </w:pPr>
      <w:r>
        <w:rPr>
          <w:b/>
          <w:bCs/>
        </w:rPr>
        <w:t xml:space="preserve">Spread Adjustment Framework</w:t>
      </w:r>
      <w:r>
        <w:t xml:space="preserve">:</w:t>
      </w:r>
    </w:p>
    <w:p>
      <w:pPr>
        <w:pStyle w:val="BodyText"/>
      </w:pPr>
      <m:oMathPara>
        <m:oMathParaPr>
          <m:jc m:val="center"/>
        </m:oMathParaPr>
        <m:oMath>
          <m:sSub>
            <m:e>
              <m:r>
                <m:t>S</m:t>
              </m:r>
            </m:e>
            <m:sub>
              <m:r>
                <m:t>T</m:t>
              </m:r>
              <m:r>
                <m:t>B</m:t>
              </m:r>
              <m:r>
                <m:t>A</m:t>
              </m:r>
            </m:sub>
          </m:sSub>
          <m:r>
            <m:rPr>
              <m:sty m:val="p"/>
            </m:rPr>
            <m:t>=</m:t>
          </m:r>
          <m:sSub>
            <m:e>
              <m:r>
                <m:t>S</m:t>
              </m:r>
            </m:e>
            <m:sub>
              <m:r>
                <m:t>P</m:t>
              </m:r>
              <m:r>
                <m:t>o</m:t>
              </m:r>
              <m:r>
                <m:t>o</m:t>
              </m:r>
              <m:r>
                <m:t>l</m:t>
              </m:r>
              <m:r>
                <m:t>s</m:t>
              </m:r>
            </m:sub>
          </m:sSub>
          <m:r>
            <m:rPr>
              <m:sty m:val="p"/>
            </m:rPr>
            <m:t>−</m:t>
          </m:r>
          <m:r>
            <m:rPr>
              <m:nor/>
              <m:sty m:val="p"/>
            </m:rPr>
            <m:t>Funding Adjustment</m:t>
          </m:r>
          <m:r>
            <m:rPr>
              <m:sty m:val="p"/>
            </m:rPr>
            <m:t>.</m:t>
          </m:r>
        </m:oMath>
      </m:oMathPara>
    </w:p>
    <w:p>
      <w:pPr>
        <w:pStyle w:val="Compact"/>
        <w:numPr>
          <w:ilvl w:val="1"/>
          <w:numId w:val="1004"/>
        </w:numPr>
      </w:pPr>
      <w:r>
        <w:t xml:space="preserve">Funding costs are influenced by repo rates, collateral availability, and roll specialness.</w:t>
      </w:r>
    </w:p>
    <w:p>
      <w:pPr>
        <w:pStyle w:val="Compact"/>
        <w:numPr>
          <w:ilvl w:val="1"/>
          <w:numId w:val="1004"/>
        </w:numPr>
      </w:pPr>
      <w:r>
        <w:t xml:space="preserve">Elevated repo costs induce widening spreads between TBAs and pools.</w:t>
      </w:r>
    </w:p>
    <w:p>
      <w:pPr>
        <w:pStyle w:val="Compact"/>
        <w:numPr>
          <w:ilvl w:val="1"/>
          <w:numId w:val="1004"/>
        </w:numPr>
      </w:pPr>
      <w:r>
        <w:t xml:space="preserve">Empirical models for roll costs provide enhanced valuation insights.</w:t>
      </w:r>
    </w:p>
    <w:p>
      <w:pPr>
        <w:pStyle w:val="Compact"/>
        <w:numPr>
          <w:ilvl w:val="1"/>
          <w:numId w:val="1004"/>
        </w:numPr>
      </w:pPr>
      <w:r>
        <w:t xml:space="preserve">Liquidity stress scenarios should be incorporated into spread forecasting.</w:t>
      </w:r>
    </w:p>
    <w:p>
      <w:pPr>
        <w:pStyle w:val="Compact"/>
        <w:numPr>
          <w:ilvl w:val="1"/>
          <w:numId w:val="1004"/>
        </w:numPr>
      </w:pPr>
      <w:r>
        <w:t xml:space="preserve">Differential pricing should account for varying dollar roll specialness by settlement structure and security type.</w:t>
      </w:r>
    </w:p>
    <w:bookmarkEnd w:id="20"/>
    <w:bookmarkEnd w:id="21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1970-01-01T00:00:00Z</dcterms:created>
  <dcterms:modified xsi:type="dcterms:W3CDTF">1970-01-01T00:00:00Z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